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03" w:rsidRPr="00B24F03" w:rsidRDefault="00B24F03" w:rsidP="00014C79">
      <w:pPr>
        <w:spacing w:line="360" w:lineRule="atLeast"/>
        <w:ind w:right="-1"/>
        <w:jc w:val="center"/>
        <w:rPr>
          <w:rFonts w:cs="Arial"/>
          <w:b/>
          <w:sz w:val="32"/>
          <w:szCs w:val="32"/>
        </w:rPr>
      </w:pPr>
      <w:r w:rsidRPr="00B24F03">
        <w:rPr>
          <w:rFonts w:cs="Arial"/>
          <w:b/>
          <w:sz w:val="32"/>
          <w:szCs w:val="32"/>
        </w:rPr>
        <w:t>SELEZIO</w:t>
      </w:r>
      <w:bookmarkStart w:id="0" w:name="_GoBack"/>
      <w:bookmarkEnd w:id="0"/>
      <w:r w:rsidRPr="00B24F03">
        <w:rPr>
          <w:rFonts w:cs="Arial"/>
          <w:b/>
          <w:sz w:val="32"/>
          <w:szCs w:val="32"/>
        </w:rPr>
        <w:t xml:space="preserve">NE PUBBLICA, PER ESAMI, PER LA FORMAZIONE DI UNA GRADUATORIA PER ASSUNZIONI </w:t>
      </w:r>
      <w:proofErr w:type="gramStart"/>
      <w:r w:rsidRPr="00B24F03">
        <w:rPr>
          <w:rFonts w:cs="Arial"/>
          <w:b/>
          <w:sz w:val="32"/>
          <w:szCs w:val="32"/>
        </w:rPr>
        <w:t>A  TEMPO</w:t>
      </w:r>
      <w:proofErr w:type="gramEnd"/>
      <w:r w:rsidRPr="00B24F03">
        <w:rPr>
          <w:rFonts w:cs="Arial"/>
          <w:b/>
          <w:sz w:val="32"/>
          <w:szCs w:val="32"/>
        </w:rPr>
        <w:t xml:space="preserve"> DETERMINATO DI PERSONALE NELLA FIGURA PROFESSIONALE DI ASSISTENTE AMMINISTRATIVO/CONTABILE </w:t>
      </w:r>
      <w:r w:rsidRPr="00B24F03">
        <w:rPr>
          <w:rFonts w:cs="Arial"/>
          <w:b/>
          <w:sz w:val="32"/>
          <w:szCs w:val="32"/>
        </w:rPr>
        <w:t xml:space="preserve">- </w:t>
      </w:r>
      <w:r w:rsidRPr="00B24F03">
        <w:rPr>
          <w:rFonts w:cs="Arial"/>
          <w:b/>
          <w:sz w:val="32"/>
          <w:szCs w:val="32"/>
        </w:rPr>
        <w:t>CAT. C LIVELLO BASE</w:t>
      </w:r>
    </w:p>
    <w:p w:rsidR="00B24F03" w:rsidRDefault="00B24F03" w:rsidP="00014C79">
      <w:pPr>
        <w:ind w:right="-1"/>
        <w:jc w:val="center"/>
        <w:rPr>
          <w:b/>
          <w:sz w:val="32"/>
          <w:szCs w:val="32"/>
        </w:rPr>
      </w:pPr>
    </w:p>
    <w:p w:rsidR="008602B2" w:rsidRDefault="00B24F03" w:rsidP="00014C79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DOMANDE </w:t>
      </w:r>
      <w:r w:rsidRPr="00B24F03">
        <w:rPr>
          <w:b/>
          <w:sz w:val="32"/>
          <w:szCs w:val="32"/>
        </w:rPr>
        <w:t>PROVA ORALE</w:t>
      </w:r>
    </w:p>
    <w:p w:rsidR="00B24F03" w:rsidRPr="00B24F03" w:rsidRDefault="00B24F03" w:rsidP="00014C79">
      <w:pPr>
        <w:ind w:right="-1"/>
        <w:jc w:val="center"/>
        <w:rPr>
          <w:b/>
          <w:sz w:val="32"/>
          <w:szCs w:val="32"/>
        </w:rPr>
      </w:pPr>
      <w:r w:rsidRPr="00B24F03">
        <w:rPr>
          <w:b/>
          <w:sz w:val="32"/>
          <w:szCs w:val="32"/>
        </w:rPr>
        <w:t>13 NOVEMBRE 2023</w:t>
      </w:r>
    </w:p>
    <w:p w:rsidR="00B24F03" w:rsidRDefault="00B24F03" w:rsidP="00B24F03">
      <w:pPr>
        <w:spacing w:before="100" w:beforeAutospacing="1" w:after="100" w:afterAutospacing="1"/>
        <w:ind w:left="284" w:hanging="284"/>
        <w:jc w:val="both"/>
        <w:rPr>
          <w:color w:val="000000"/>
          <w:szCs w:val="24"/>
        </w:rPr>
      </w:pPr>
    </w:p>
    <w:p w:rsidR="00B24F03" w:rsidRDefault="00B24F03" w:rsidP="00B24F03">
      <w:pPr>
        <w:spacing w:before="100" w:beforeAutospacing="1" w:after="100" w:afterAutospacing="1"/>
        <w:ind w:left="284" w:hanging="284"/>
        <w:jc w:val="center"/>
        <w:rPr>
          <w:b/>
          <w:color w:val="000000"/>
          <w:sz w:val="28"/>
          <w:szCs w:val="28"/>
        </w:rPr>
      </w:pPr>
      <w:r w:rsidRPr="00D31225">
        <w:rPr>
          <w:b/>
          <w:color w:val="000000"/>
          <w:sz w:val="28"/>
          <w:szCs w:val="28"/>
        </w:rPr>
        <w:t xml:space="preserve">GRUPPO </w:t>
      </w:r>
      <w:proofErr w:type="gramStart"/>
      <w:r w:rsidRPr="00D31225">
        <w:rPr>
          <w:b/>
          <w:color w:val="000000"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 :</w:t>
      </w:r>
      <w:proofErr w:type="gramEnd"/>
      <w:r>
        <w:rPr>
          <w:b/>
          <w:color w:val="000000"/>
          <w:sz w:val="28"/>
          <w:szCs w:val="28"/>
        </w:rPr>
        <w:t xml:space="preserve"> AREA AMMINISTRATIVA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La formazione della volontà di un organo collegiale e definizione dei provvedimenti dallo stesso emanati.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La tipologia e il diverso valore dei pareri obbligatori, facoltativi e vincolanti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La fase integrativa dell’efficacia di un provvedimento amministrativo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Differenze fra nullità ed annullabilità di un atto amministrativo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Il responsabile del procedimento e l’obbligo di conclusione del procedimento.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Principali contenuti del Codice di comportamento dei pubblici dipendenti.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La motivazione dei provvedimenti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Diritti e doveri del dipendente comunale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Il dipendente pubblico può svolgere incarichi non compresi nei propri doveri d’ufficio?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Il dipendente può accettare regali da soggetti connessi con l’attività d’ufficio?</w:t>
      </w:r>
    </w:p>
    <w:p w:rsidR="00B24F03" w:rsidRPr="00D31225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Chi è il responsabile dell’anticorruzione? Quali sono i sui compiti?</w:t>
      </w:r>
    </w:p>
    <w:p w:rsidR="00B24F03" w:rsidRDefault="00B24F03" w:rsidP="00B24F03">
      <w:pPr>
        <w:numPr>
          <w:ilvl w:val="0"/>
          <w:numId w:val="3"/>
        </w:numPr>
        <w:spacing w:before="240" w:after="0" w:line="240" w:lineRule="auto"/>
        <w:ind w:left="567" w:hanging="567"/>
        <w:jc w:val="both"/>
        <w:rPr>
          <w:color w:val="000000"/>
          <w:szCs w:val="24"/>
        </w:rPr>
      </w:pPr>
      <w:r w:rsidRPr="00D31225">
        <w:rPr>
          <w:color w:val="000000"/>
          <w:szCs w:val="24"/>
        </w:rPr>
        <w:t>La Sezione anticorruzione del PIAO. Cosa individua e che indicazioni operative deve dare?</w:t>
      </w:r>
    </w:p>
    <w:p w:rsidR="00B24F03" w:rsidRDefault="00B24F03" w:rsidP="00B24F03">
      <w:pPr>
        <w:spacing w:before="100" w:beforeAutospacing="1" w:after="100" w:afterAutospacing="1"/>
        <w:ind w:left="284" w:hanging="284"/>
        <w:jc w:val="both"/>
        <w:rPr>
          <w:color w:val="000000"/>
          <w:szCs w:val="24"/>
        </w:rPr>
      </w:pPr>
    </w:p>
    <w:p w:rsidR="00B24F03" w:rsidRPr="00C96029" w:rsidRDefault="00B24F03" w:rsidP="00B24F03">
      <w:pPr>
        <w:spacing w:before="100" w:beforeAutospacing="1" w:after="100" w:afterAutospacing="1"/>
        <w:ind w:left="284" w:hanging="284"/>
        <w:jc w:val="center"/>
        <w:rPr>
          <w:b/>
          <w:color w:val="000000"/>
          <w:szCs w:val="24"/>
        </w:rPr>
      </w:pPr>
      <w:r w:rsidRPr="00C96029">
        <w:rPr>
          <w:b/>
          <w:color w:val="000000"/>
          <w:szCs w:val="24"/>
        </w:rPr>
        <w:t>GRUPPO B</w:t>
      </w:r>
      <w:r>
        <w:rPr>
          <w:b/>
          <w:color w:val="000000"/>
          <w:szCs w:val="24"/>
        </w:rPr>
        <w:t>:</w:t>
      </w:r>
      <w:r w:rsidRPr="00C96029">
        <w:rPr>
          <w:b/>
          <w:color w:val="000000"/>
          <w:szCs w:val="24"/>
        </w:rPr>
        <w:t xml:space="preserve"> AREA TRASPARENZA</w:t>
      </w:r>
    </w:p>
    <w:p w:rsidR="00B24F03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D</w:t>
      </w:r>
      <w:r w:rsidRPr="009B49B6">
        <w:rPr>
          <w:color w:val="000000"/>
          <w:szCs w:val="24"/>
        </w:rPr>
        <w:t>ifferenza tra accesso civico e accesso civico generalizzato.</w:t>
      </w:r>
    </w:p>
    <w:p w:rsidR="00B24F03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Pr="009B49B6">
        <w:rPr>
          <w:color w:val="000000"/>
          <w:szCs w:val="24"/>
        </w:rPr>
        <w:t xml:space="preserve">ccesso agli atti: come si esercita e da chi </w:t>
      </w:r>
      <w:proofErr w:type="spellStart"/>
      <w:r w:rsidRPr="009B49B6">
        <w:rPr>
          <w:color w:val="000000"/>
          <w:szCs w:val="24"/>
        </w:rPr>
        <w:t>puo’</w:t>
      </w:r>
      <w:proofErr w:type="spellEnd"/>
      <w:r w:rsidRPr="009B49B6">
        <w:rPr>
          <w:color w:val="000000"/>
          <w:szCs w:val="24"/>
        </w:rPr>
        <w:t xml:space="preserve"> essere richiesto.</w:t>
      </w:r>
    </w:p>
    <w:p w:rsidR="00B24F03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D</w:t>
      </w:r>
      <w:r w:rsidRPr="009B49B6">
        <w:rPr>
          <w:color w:val="000000"/>
          <w:szCs w:val="24"/>
        </w:rPr>
        <w:t>ifferenze tra accesso agli atti, accesso civico e accesso civico generalizzato.</w:t>
      </w:r>
    </w:p>
    <w:p w:rsidR="00B24F03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C</w:t>
      </w:r>
      <w:r w:rsidRPr="009B49B6">
        <w:rPr>
          <w:color w:val="000000"/>
          <w:szCs w:val="24"/>
        </w:rPr>
        <w:t>osa si intende per amminis</w:t>
      </w:r>
      <w:r>
        <w:rPr>
          <w:color w:val="000000"/>
          <w:szCs w:val="24"/>
        </w:rPr>
        <w:t>trazione trasparente di un ente</w:t>
      </w:r>
    </w:p>
    <w:p w:rsidR="00B24F03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I</w:t>
      </w:r>
      <w:r w:rsidRPr="009B49B6">
        <w:rPr>
          <w:color w:val="000000"/>
          <w:szCs w:val="24"/>
        </w:rPr>
        <w:t xml:space="preserve">l trattamento dei dati personali secondo quanto previsto dal regolamento </w:t>
      </w:r>
      <w:proofErr w:type="spellStart"/>
      <w:r w:rsidRPr="009B49B6">
        <w:rPr>
          <w:color w:val="000000"/>
          <w:szCs w:val="24"/>
        </w:rPr>
        <w:t>ue</w:t>
      </w:r>
      <w:proofErr w:type="spellEnd"/>
      <w:r>
        <w:rPr>
          <w:color w:val="000000"/>
          <w:szCs w:val="24"/>
        </w:rPr>
        <w:t xml:space="preserve"> </w:t>
      </w:r>
      <w:r w:rsidRPr="004A2F3D">
        <w:rPr>
          <w:color w:val="000000"/>
          <w:szCs w:val="24"/>
        </w:rPr>
        <w:t xml:space="preserve">2016/679 e dal </w:t>
      </w:r>
      <w:r>
        <w:rPr>
          <w:color w:val="000000"/>
          <w:szCs w:val="24"/>
        </w:rPr>
        <w:t>d.</w:t>
      </w:r>
      <w:r w:rsidRPr="004A2F3D">
        <w:rPr>
          <w:color w:val="000000"/>
          <w:szCs w:val="24"/>
        </w:rPr>
        <w:t>lgs. 196/2003.</w:t>
      </w:r>
    </w:p>
    <w:p w:rsidR="00B24F03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Q</w:t>
      </w:r>
      <w:r w:rsidRPr="009B49B6">
        <w:rPr>
          <w:color w:val="000000"/>
          <w:szCs w:val="24"/>
        </w:rPr>
        <w:t>uali sono gli obblighi del responsabile del trattamento dati.</w:t>
      </w:r>
    </w:p>
    <w:p w:rsidR="00B24F03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Q</w:t>
      </w:r>
      <w:r w:rsidRPr="009B49B6">
        <w:rPr>
          <w:color w:val="000000"/>
          <w:szCs w:val="24"/>
        </w:rPr>
        <w:t>uali sono i principi del trattamento dati personali.</w:t>
      </w:r>
    </w:p>
    <w:p w:rsidR="00B24F03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Q</w:t>
      </w:r>
      <w:r w:rsidRPr="009B49B6">
        <w:rPr>
          <w:color w:val="000000"/>
          <w:szCs w:val="24"/>
        </w:rPr>
        <w:t xml:space="preserve">uali sono i dati che </w:t>
      </w:r>
      <w:proofErr w:type="spellStart"/>
      <w:proofErr w:type="gramStart"/>
      <w:r w:rsidRPr="009B49B6">
        <w:rPr>
          <w:color w:val="000000"/>
          <w:szCs w:val="24"/>
        </w:rPr>
        <w:t>e’</w:t>
      </w:r>
      <w:proofErr w:type="spellEnd"/>
      <w:proofErr w:type="gramEnd"/>
      <w:r w:rsidRPr="009B49B6">
        <w:rPr>
          <w:color w:val="000000"/>
          <w:szCs w:val="24"/>
        </w:rPr>
        <w:t xml:space="preserve"> vietato trattare in base al regolamento </w:t>
      </w:r>
      <w:proofErr w:type="spellStart"/>
      <w:r w:rsidRPr="009B49B6">
        <w:rPr>
          <w:color w:val="000000"/>
          <w:szCs w:val="24"/>
        </w:rPr>
        <w:t>ue</w:t>
      </w:r>
      <w:proofErr w:type="spellEnd"/>
      <w:r w:rsidRPr="009B49B6">
        <w:rPr>
          <w:color w:val="000000"/>
          <w:szCs w:val="24"/>
        </w:rPr>
        <w:t xml:space="preserve"> 2016/679 e al d.</w:t>
      </w:r>
      <w:r w:rsidRPr="00974A08">
        <w:rPr>
          <w:color w:val="000000"/>
          <w:szCs w:val="24"/>
        </w:rPr>
        <w:t>lgs. 196/2003.</w:t>
      </w:r>
    </w:p>
    <w:p w:rsidR="00B24F03" w:rsidRPr="009B49B6" w:rsidRDefault="00B24F03" w:rsidP="00B24F03">
      <w:pPr>
        <w:numPr>
          <w:ilvl w:val="1"/>
          <w:numId w:val="1"/>
        </w:numPr>
        <w:spacing w:before="240" w:after="100" w:afterAutospacing="1" w:line="240" w:lineRule="auto"/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Il PIAO</w:t>
      </w:r>
      <w:r w:rsidRPr="009B49B6">
        <w:rPr>
          <w:color w:val="000000"/>
          <w:szCs w:val="24"/>
        </w:rPr>
        <w:t xml:space="preserve"> piano di </w:t>
      </w:r>
      <w:proofErr w:type="spellStart"/>
      <w:r w:rsidRPr="009B49B6">
        <w:rPr>
          <w:color w:val="000000"/>
          <w:szCs w:val="24"/>
        </w:rPr>
        <w:t>attivita’</w:t>
      </w:r>
      <w:proofErr w:type="spellEnd"/>
      <w:r w:rsidRPr="009B49B6">
        <w:rPr>
          <w:color w:val="000000"/>
          <w:szCs w:val="24"/>
        </w:rPr>
        <w:t xml:space="preserve"> integrato e di organizzazione.</w:t>
      </w:r>
    </w:p>
    <w:p w:rsidR="00B24F03" w:rsidRDefault="00B24F03" w:rsidP="00B24F03">
      <w:pPr>
        <w:spacing w:before="100" w:beforeAutospacing="1" w:after="100" w:afterAutospacing="1"/>
        <w:ind w:left="284" w:hanging="284"/>
        <w:jc w:val="both"/>
        <w:rPr>
          <w:color w:val="000000"/>
          <w:szCs w:val="24"/>
        </w:rPr>
      </w:pPr>
    </w:p>
    <w:p w:rsidR="00B24F03" w:rsidRPr="00C96029" w:rsidRDefault="00B24F03" w:rsidP="00B24F03">
      <w:pPr>
        <w:spacing w:before="100" w:beforeAutospacing="1" w:after="100" w:afterAutospacing="1"/>
        <w:ind w:left="284" w:hanging="284"/>
        <w:jc w:val="center"/>
        <w:rPr>
          <w:b/>
          <w:color w:val="000000"/>
          <w:szCs w:val="24"/>
        </w:rPr>
      </w:pPr>
      <w:r w:rsidRPr="00C96029">
        <w:rPr>
          <w:b/>
          <w:color w:val="000000"/>
          <w:szCs w:val="24"/>
        </w:rPr>
        <w:t>GRUPPO C</w:t>
      </w:r>
      <w:r>
        <w:rPr>
          <w:b/>
          <w:color w:val="000000"/>
          <w:szCs w:val="24"/>
        </w:rPr>
        <w:t>:</w:t>
      </w:r>
      <w:r w:rsidRPr="00C96029">
        <w:rPr>
          <w:b/>
          <w:color w:val="000000"/>
          <w:szCs w:val="24"/>
        </w:rPr>
        <w:t xml:space="preserve"> AREA CONTABILE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Debiti fuori bilancio: riconoscimento di legittimità e relative possibilità di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finanziamento della spesa.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I principi che caratterizzano la costituzione dei fondi di riserva: definizione,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stanziamento pre</w:t>
      </w:r>
      <w:r>
        <w:rPr>
          <w:color w:val="000000"/>
          <w:szCs w:val="24"/>
        </w:rPr>
        <w:t>visionale, modalità di utilizzo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I principi che caratterizzano la costituzione del fondo crediti di dubbia e difficile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esazione.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Le variazioni di bilancio a seguito dell’armonizzazione contabile: tipologie e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competenza, soffermandosi in particolare sulle variazioni di competenza del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Responsabile del servizio finanziario.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La struttura del bilancio dell’Ente locale.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Le fasi della spesa ed il concetto di esigibilità.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Le fasi dell’entrata ed il concetto di esigibilità.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Differenza tra visto e parere di regolarità contabile.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proofErr w:type="gramStart"/>
      <w:r w:rsidRPr="00EA25A6">
        <w:rPr>
          <w:color w:val="000000"/>
          <w:szCs w:val="24"/>
        </w:rPr>
        <w:t>E’</w:t>
      </w:r>
      <w:proofErr w:type="gramEnd"/>
      <w:r w:rsidRPr="00EA25A6">
        <w:rPr>
          <w:color w:val="000000"/>
          <w:szCs w:val="24"/>
        </w:rPr>
        <w:t xml:space="preserve"> possibile per gli organi politici adottare provvedimenti difformi dal parere di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regolarità contabile?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Il rendiconto, iter di approvazione soffermandosi in particolare sulla la fase di</w:t>
      </w:r>
      <w:r>
        <w:rPr>
          <w:color w:val="000000"/>
          <w:szCs w:val="24"/>
        </w:rPr>
        <w:t xml:space="preserve"> </w:t>
      </w:r>
      <w:proofErr w:type="spellStart"/>
      <w:r w:rsidRPr="00EA25A6">
        <w:rPr>
          <w:color w:val="000000"/>
          <w:szCs w:val="24"/>
        </w:rPr>
        <w:t>riaccertamento</w:t>
      </w:r>
      <w:proofErr w:type="spellEnd"/>
      <w:r w:rsidRPr="00EA25A6">
        <w:rPr>
          <w:color w:val="000000"/>
          <w:szCs w:val="24"/>
        </w:rPr>
        <w:t xml:space="preserve"> dei residui.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Tipologie di spesa dell’Ente locale, ed in particolare le spese correnti e le loro fonti di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finanziamento.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Tipologie di spesa dell’Ente locale, ed in particolare le spese in conto capitale e le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loro fonti di finanziamento.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Residui attivi e passivi nel bilancio dell’Ente, ed in particolare il loro impatto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sull’avanzo di amministrazione.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Il D.U.P. – Documento Unico di Programmazione strumento per la guida strategica e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operativa dell’ente. Il candidato ne descriva sinteticamente le caratteristiche e la</w:t>
      </w:r>
      <w:r>
        <w:rPr>
          <w:color w:val="000000"/>
          <w:szCs w:val="24"/>
        </w:rPr>
        <w:t xml:space="preserve"> tempistica di </w:t>
      </w:r>
      <w:r w:rsidRPr="00EA25A6">
        <w:rPr>
          <w:color w:val="000000"/>
          <w:szCs w:val="24"/>
        </w:rPr>
        <w:t>approvazione.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Il candidato illustri le modalità di calcolo dell’avanzo di amministrazione, le sue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componenti e le principali possibilità di utilizzo.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Il bilancio dell’Ente locale, soffermandosi in particolare sui concetti di pareggio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complessivo e degli equilibri di bilancio.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lastRenderedPageBreak/>
        <w:t>Gli agenti contabili dell’Ente: chi sono, i loro obblighi e le responsabilità derivanti.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Il D.U.P. – Documento Unico di Programmazione e il bilancio di previsione nell’ente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locale, soffermandosi in particolare sull’iter di approvazione.</w:t>
      </w:r>
    </w:p>
    <w:p w:rsidR="00B24F03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Il prelevamento da fondo di riserva: competenza all’adozione, spese ammissibili,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imputazione a bilancio, stanziamento previsionale, eventuali comunicazioni</w:t>
      </w:r>
      <w:r>
        <w:rPr>
          <w:color w:val="000000"/>
          <w:szCs w:val="24"/>
        </w:rPr>
        <w:t xml:space="preserve"> </w:t>
      </w:r>
      <w:r w:rsidRPr="00EA25A6">
        <w:rPr>
          <w:color w:val="000000"/>
          <w:szCs w:val="24"/>
        </w:rPr>
        <w:t>successive.</w:t>
      </w:r>
    </w:p>
    <w:p w:rsidR="00B24F03" w:rsidRPr="009B49B6" w:rsidRDefault="00B24F03" w:rsidP="00B24F03">
      <w:pPr>
        <w:numPr>
          <w:ilvl w:val="1"/>
          <w:numId w:val="2"/>
        </w:numPr>
        <w:spacing w:before="240" w:after="240" w:line="240" w:lineRule="auto"/>
        <w:ind w:left="567" w:hanging="567"/>
        <w:jc w:val="both"/>
        <w:rPr>
          <w:color w:val="000000"/>
          <w:szCs w:val="24"/>
        </w:rPr>
      </w:pPr>
      <w:r w:rsidRPr="00EA25A6">
        <w:rPr>
          <w:color w:val="000000"/>
          <w:szCs w:val="24"/>
        </w:rPr>
        <w:t>Modalità ed iter per inserire a bilancio una spesa inizialmente non prevista.</w:t>
      </w:r>
    </w:p>
    <w:p w:rsidR="00B24F03" w:rsidRDefault="00B24F03" w:rsidP="00B24F03"/>
    <w:sectPr w:rsidR="00B24F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F2A"/>
    <w:multiLevelType w:val="multilevel"/>
    <w:tmpl w:val="B2C4A83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5250290"/>
    <w:multiLevelType w:val="hybridMultilevel"/>
    <w:tmpl w:val="B3EC1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2484D"/>
    <w:multiLevelType w:val="hybridMultilevel"/>
    <w:tmpl w:val="3F169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6DE4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3"/>
    <w:rsid w:val="00014C79"/>
    <w:rsid w:val="002516C9"/>
    <w:rsid w:val="00B24F03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9D71"/>
  <w15:chartTrackingRefBased/>
  <w15:docId w15:val="{E0CC04A7-C823-4359-AC93-65C5B471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Comunità Valsugana e Tesino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Zotta</dc:creator>
  <cp:keywords/>
  <dc:description/>
  <cp:lastModifiedBy>Alessandra Zotta</cp:lastModifiedBy>
  <cp:revision>2</cp:revision>
  <cp:lastPrinted>2023-11-17T07:48:00Z</cp:lastPrinted>
  <dcterms:created xsi:type="dcterms:W3CDTF">2023-11-17T07:44:00Z</dcterms:created>
  <dcterms:modified xsi:type="dcterms:W3CDTF">2023-11-17T07:49:00Z</dcterms:modified>
</cp:coreProperties>
</file>